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2F3CD4F8"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w:t>
      </w:r>
      <w:r w:rsidR="00287A6B">
        <w:rPr>
          <w:rFonts w:asciiTheme="majorHAnsi" w:hAnsiTheme="majorHAnsi"/>
          <w:noProof/>
        </w:rPr>
        <w:t xml:space="preserve"> </w:t>
      </w:r>
      <w:r w:rsidR="003E0414">
        <w:rPr>
          <w:rFonts w:asciiTheme="majorHAnsi" w:hAnsiTheme="majorHAnsi"/>
          <w:noProof/>
        </w:rPr>
        <w:t>27460</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4DB432CD" w14:textId="77777777" w:rsidR="00340DA4" w:rsidRDefault="00340DA4" w:rsidP="00340DA4">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Pr>
          <w:rFonts w:eastAsia="Times New Roman" w:cs="Times New Roman"/>
          <w:b/>
          <w:highlight w:val="yellow"/>
          <w:lang w:eastAsia="cs-CZ"/>
        </w:rPr>
        <w:t>:</w:t>
      </w:r>
      <w:r w:rsidRPr="00F20995">
        <w:rPr>
          <w:rFonts w:eastAsia="Times New Roman" w:cs="Times New Roman"/>
          <w:b/>
          <w:highlight w:val="yellow"/>
          <w:lang w:eastAsia="cs-CZ"/>
        </w:rPr>
        <w:t xml:space="preserve"> </w:t>
      </w:r>
      <w:r>
        <w:rPr>
          <w:rFonts w:ascii="Verdana" w:hAnsi="Verdana" w:cstheme="minorHAnsi"/>
          <w:highlight w:val="yellow"/>
        </w:rPr>
        <w:t>[DOPLNÍ KUPUJÍCÍ</w:t>
      </w:r>
      <w:r w:rsidRPr="00633D18">
        <w:rPr>
          <w:rFonts w:ascii="Verdana" w:hAnsi="Verdana" w:cstheme="minorHAnsi"/>
          <w:highlight w:val="yellow"/>
        </w:rPr>
        <w:t xml:space="preserve"> PŘI PODPISU </w:t>
      </w:r>
      <w:r>
        <w:rPr>
          <w:rFonts w:ascii="Verdana" w:hAnsi="Verdana" w:cstheme="minorHAnsi"/>
          <w:highlight w:val="yellow"/>
        </w:rPr>
        <w:t>SMLOUVY</w:t>
      </w:r>
      <w:r w:rsidRPr="00633D18">
        <w:rPr>
          <w:rFonts w:ascii="Verdana" w:hAnsi="Verdana" w:cstheme="minorHAnsi"/>
          <w:highlight w:val="yellow"/>
        </w:rPr>
        <w:t>]</w:t>
      </w:r>
    </w:p>
    <w:p w14:paraId="150DC0A9" w14:textId="77777777" w:rsidR="00340DA4" w:rsidRPr="00F20995" w:rsidRDefault="00340DA4" w:rsidP="00340DA4">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023CB123" w14:textId="77777777" w:rsidR="00340DA4" w:rsidRPr="00745217" w:rsidRDefault="00340DA4" w:rsidP="00340DA4">
      <w:pPr>
        <w:pStyle w:val="Kupujc"/>
        <w:rPr>
          <w:b/>
          <w:bCs/>
        </w:rPr>
      </w:pPr>
      <w:bookmarkStart w:id="0" w:name="_Hlk27230499"/>
      <w:r w:rsidRPr="004848F8">
        <w:rPr>
          <w:rStyle w:val="Tun"/>
        </w:rPr>
        <w:t>Kupující</w:t>
      </w:r>
      <w:r w:rsidRPr="000C5DA0">
        <w:t>:</w:t>
      </w:r>
      <w:r w:rsidRPr="000C5DA0">
        <w:tab/>
      </w:r>
      <w:r w:rsidRPr="00745217">
        <w:rPr>
          <w:b/>
          <w:bCs/>
        </w:rPr>
        <w:t xml:space="preserve">Centrum dopravního výzkumu, </w:t>
      </w:r>
      <w:proofErr w:type="spellStart"/>
      <w:r w:rsidRPr="00745217">
        <w:rPr>
          <w:b/>
          <w:bCs/>
        </w:rPr>
        <w:t>v.v.i</w:t>
      </w:r>
      <w:proofErr w:type="spellEnd"/>
      <w:r w:rsidRPr="00745217">
        <w:rPr>
          <w:b/>
          <w:bCs/>
        </w:rPr>
        <w:t>.</w:t>
      </w:r>
    </w:p>
    <w:p w14:paraId="6D6433A6" w14:textId="39109E53" w:rsidR="00340DA4" w:rsidRPr="00DB1F96" w:rsidRDefault="00340DA4" w:rsidP="00340DA4">
      <w:pPr>
        <w:overflowPunct w:val="0"/>
        <w:autoSpaceDE w:val="0"/>
        <w:autoSpaceDN w:val="0"/>
        <w:adjustRightInd w:val="0"/>
        <w:spacing w:after="0" w:line="240" w:lineRule="auto"/>
        <w:ind w:left="1416" w:firstLine="708"/>
        <w:textAlignment w:val="baseline"/>
        <w:rPr>
          <w:rFonts w:eastAsia="Times New Roman" w:cs="Times New Roman"/>
          <w:lang w:eastAsia="cs-CZ"/>
        </w:rPr>
      </w:pPr>
      <w:r w:rsidRPr="007267A3">
        <w:rPr>
          <w:rFonts w:eastAsia="Times New Roman" w:cs="Times New Roman"/>
          <w:highlight w:val="yellow"/>
          <w:lang w:eastAsia="cs-CZ"/>
        </w:rPr>
        <w:t>údaje o zápisu v</w:t>
      </w:r>
      <w:r>
        <w:rPr>
          <w:rFonts w:eastAsia="Times New Roman" w:cs="Times New Roman"/>
          <w:highlight w:val="yellow"/>
          <w:lang w:eastAsia="cs-CZ"/>
        </w:rPr>
        <w:t> </w:t>
      </w:r>
      <w:r w:rsidRPr="007267A3">
        <w:rPr>
          <w:rFonts w:eastAsia="Times New Roman" w:cs="Times New Roman"/>
          <w:highlight w:val="yellow"/>
          <w:lang w:eastAsia="cs-CZ"/>
        </w:rPr>
        <w:t>evidenci</w:t>
      </w:r>
      <w:r>
        <w:rPr>
          <w:rFonts w:eastAsia="Times New Roman" w:cs="Times New Roman"/>
          <w:highlight w:val="yellow"/>
          <w:lang w:eastAsia="cs-CZ"/>
        </w:rPr>
        <w:t xml:space="preserve"> </w:t>
      </w:r>
      <w:r w:rsidRPr="007267A3">
        <w:rPr>
          <w:noProof/>
          <w:highlight w:val="yellow"/>
        </w:rPr>
        <w:t>[</w:t>
      </w:r>
      <w:r w:rsidRPr="007267A3">
        <w:rPr>
          <w:iCs/>
          <w:noProof/>
          <w:highlight w:val="yellow"/>
        </w:rPr>
        <w:t>DOPLNÍ KUPUJÍCÍ</w:t>
      </w:r>
      <w:r w:rsidRPr="007267A3">
        <w:rPr>
          <w:noProof/>
          <w:highlight w:val="yellow"/>
        </w:rPr>
        <w:t>]</w:t>
      </w:r>
    </w:p>
    <w:p w14:paraId="381E6064" w14:textId="77777777" w:rsidR="00340DA4" w:rsidRPr="007267A3" w:rsidRDefault="00340DA4" w:rsidP="00340DA4">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 xml:space="preserve">údaje o sídlu </w:t>
      </w:r>
    </w:p>
    <w:p w14:paraId="0064BB44" w14:textId="77777777" w:rsidR="00340DA4" w:rsidRPr="007267A3" w:rsidRDefault="00340DA4" w:rsidP="00340DA4">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IČ……………., DIČ …………..</w:t>
      </w:r>
    </w:p>
    <w:p w14:paraId="3370D880" w14:textId="77777777" w:rsidR="00340DA4" w:rsidRPr="007267A3" w:rsidRDefault="00340DA4" w:rsidP="00340DA4">
      <w:pPr>
        <w:overflowPunct w:val="0"/>
        <w:autoSpaceDE w:val="0"/>
        <w:autoSpaceDN w:val="0"/>
        <w:adjustRightInd w:val="0"/>
        <w:spacing w:after="0" w:line="240" w:lineRule="auto"/>
        <w:ind w:left="1416" w:firstLine="708"/>
        <w:textAlignment w:val="baseline"/>
        <w:rPr>
          <w:rFonts w:eastAsia="Times New Roman" w:cs="Times New Roman"/>
          <w:highlight w:val="yellow"/>
          <w:lang w:eastAsia="cs-CZ"/>
        </w:rPr>
      </w:pPr>
      <w:r w:rsidRPr="007267A3">
        <w:rPr>
          <w:rFonts w:eastAsia="Times New Roman" w:cs="Times New Roman"/>
          <w:highlight w:val="yellow"/>
          <w:lang w:eastAsia="cs-CZ"/>
        </w:rPr>
        <w:t>Bankovní spoje</w:t>
      </w:r>
      <w:r>
        <w:rPr>
          <w:rFonts w:eastAsia="Times New Roman" w:cs="Times New Roman"/>
          <w:highlight w:val="yellow"/>
          <w:lang w:eastAsia="cs-CZ"/>
        </w:rPr>
        <w:t xml:space="preserve">ní …………………. </w:t>
      </w:r>
    </w:p>
    <w:p w14:paraId="0B2E7435" w14:textId="77777777" w:rsidR="00340DA4" w:rsidRPr="007267A3" w:rsidRDefault="00340DA4" w:rsidP="00340DA4">
      <w:pPr>
        <w:overflowPunct w:val="0"/>
        <w:autoSpaceDE w:val="0"/>
        <w:autoSpaceDN w:val="0"/>
        <w:adjustRightInd w:val="0"/>
        <w:spacing w:after="0" w:line="240" w:lineRule="auto"/>
        <w:ind w:left="1416" w:firstLine="708"/>
        <w:textAlignment w:val="baseline"/>
        <w:rPr>
          <w:noProof/>
          <w:highlight w:val="yellow"/>
        </w:rPr>
      </w:pPr>
      <w:r w:rsidRPr="007267A3">
        <w:rPr>
          <w:rFonts w:eastAsia="Times New Roman" w:cs="Times New Roman"/>
          <w:highlight w:val="yellow"/>
          <w:lang w:eastAsia="cs-CZ"/>
        </w:rPr>
        <w:t>Číslo účtu</w:t>
      </w:r>
      <w:r>
        <w:rPr>
          <w:rFonts w:eastAsia="Times New Roman" w:cs="Times New Roman"/>
          <w:highlight w:val="yellow"/>
          <w:lang w:eastAsia="cs-CZ"/>
        </w:rPr>
        <w:t xml:space="preserve"> ……………….</w:t>
      </w:r>
    </w:p>
    <w:p w14:paraId="102CBE9E" w14:textId="77777777" w:rsidR="00340DA4" w:rsidRPr="007267A3" w:rsidRDefault="00340DA4" w:rsidP="00340DA4">
      <w:pPr>
        <w:overflowPunct w:val="0"/>
        <w:autoSpaceDE w:val="0"/>
        <w:autoSpaceDN w:val="0"/>
        <w:adjustRightInd w:val="0"/>
        <w:spacing w:after="0" w:line="240" w:lineRule="auto"/>
        <w:ind w:left="1416" w:firstLine="708"/>
        <w:textAlignment w:val="baseline"/>
        <w:rPr>
          <w:noProof/>
          <w:highlight w:val="yellow"/>
        </w:rPr>
      </w:pPr>
      <w:r w:rsidRPr="007267A3">
        <w:rPr>
          <w:noProof/>
          <w:highlight w:val="yellow"/>
        </w:rPr>
        <w:t>ID datové schránky</w:t>
      </w:r>
    </w:p>
    <w:p w14:paraId="1F997111" w14:textId="77777777" w:rsidR="00340DA4" w:rsidRDefault="00340DA4" w:rsidP="00340DA4">
      <w:pPr>
        <w:overflowPunct w:val="0"/>
        <w:autoSpaceDE w:val="0"/>
        <w:autoSpaceDN w:val="0"/>
        <w:adjustRightInd w:val="0"/>
        <w:spacing w:after="0" w:line="240" w:lineRule="auto"/>
        <w:ind w:left="1416" w:firstLine="708"/>
        <w:textAlignment w:val="baseline"/>
        <w:rPr>
          <w:rFonts w:eastAsia="Times New Roman" w:cs="Times New Roman"/>
          <w:lang w:eastAsia="cs-CZ"/>
        </w:rPr>
      </w:pPr>
      <w:r w:rsidRPr="007267A3">
        <w:rPr>
          <w:rFonts w:eastAsia="Times New Roman" w:cs="Times New Roman"/>
          <w:highlight w:val="yellow"/>
          <w:lang w:eastAsia="cs-CZ"/>
        </w:rPr>
        <w:t>údaje o statutárním orgánu nebo jiné oprávněné osobě</w:t>
      </w:r>
    </w:p>
    <w:p w14:paraId="4DDDA487" w14:textId="77777777" w:rsidR="00340DA4" w:rsidRDefault="00340DA4" w:rsidP="00340DA4">
      <w:pPr>
        <w:overflowPunct w:val="0"/>
        <w:autoSpaceDE w:val="0"/>
        <w:autoSpaceDN w:val="0"/>
        <w:adjustRightInd w:val="0"/>
        <w:spacing w:after="0" w:line="240" w:lineRule="auto"/>
        <w:ind w:left="1416" w:firstLine="708"/>
        <w:textAlignment w:val="baseline"/>
        <w:rPr>
          <w:rFonts w:eastAsia="Times New Roman" w:cs="Times New Roman"/>
          <w:lang w:eastAsia="cs-CZ"/>
        </w:rPr>
      </w:pP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04670F52" w:rsidR="00EA2C48" w:rsidRPr="001925F6" w:rsidRDefault="000553F9" w:rsidP="004848F8">
      <w:pPr>
        <w:pStyle w:val="Identifikace"/>
      </w:pPr>
      <w:r>
        <w:tab/>
      </w:r>
      <w:r w:rsidR="00EA2C48" w:rsidRPr="001925F6">
        <w:rPr>
          <w:highlight w:val="green"/>
        </w:rPr>
        <w:t>IČ</w:t>
      </w:r>
      <w:r w:rsidR="00161FAE">
        <w:rPr>
          <w:highlight w:val="green"/>
        </w:rPr>
        <w:t>O</w:t>
      </w:r>
      <w:r w:rsidR="00EA2C48" w:rsidRPr="001925F6">
        <w:rPr>
          <w:highlight w:val="green"/>
        </w:rPr>
        <w:t xml:space="preserve">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0C039219"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0220E9">
        <w:rPr>
          <w:rStyle w:val="PreambuleChar"/>
          <w:b/>
          <w:bCs/>
        </w:rPr>
        <w:t>4</w:t>
      </w:r>
      <w:r w:rsidR="00340DA4">
        <w:rPr>
          <w:rStyle w:val="PreambuleChar"/>
          <w:b/>
          <w:bCs/>
        </w:rPr>
        <w:t>7</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3E0414">
        <w:rPr>
          <w:rStyle w:val="PreambuleChar"/>
        </w:rPr>
        <w:t>27460</w:t>
      </w:r>
      <w:r w:rsidR="00FD48F7" w:rsidRPr="00FD48F7">
        <w:rPr>
          <w:rStyle w:val="PreambuleChar"/>
        </w:rPr>
        <w:t>/202</w:t>
      </w:r>
      <w:r w:rsidR="000220E9">
        <w:rPr>
          <w:rStyle w:val="PreambuleChar"/>
        </w:rPr>
        <w:t>5</w:t>
      </w:r>
      <w:r w:rsidR="00FD48F7" w:rsidRPr="00FD48F7">
        <w:rPr>
          <w:rStyle w:val="PreambuleChar"/>
        </w:rPr>
        <w:t>-SŽ-GŘ-O8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A7E7143" w:rsidR="00EF0177" w:rsidRPr="00696D12" w:rsidRDefault="00A90199" w:rsidP="004848F8">
      <w:pPr>
        <w:pStyle w:val="aodst"/>
        <w:rPr>
          <w:noProof/>
        </w:rPr>
      </w:pPr>
      <w:bookmarkStart w:id="3"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lastRenderedPageBreak/>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w:t>
      </w:r>
      <w:r w:rsidRPr="00A2496A">
        <w:lastRenderedPageBreak/>
        <w:t xml:space="preserve">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419C628" w14:textId="0BD3BBF5" w:rsidR="00EC7CBA" w:rsidRDefault="00EC7CBA" w:rsidP="004848F8">
      <w:pPr>
        <w:pStyle w:val="1nadpis"/>
      </w:pPr>
      <w:r>
        <w:t>Doba a místo plnění</w:t>
      </w:r>
    </w:p>
    <w:p w14:paraId="54DE6E29" w14:textId="339F10D1" w:rsidR="00EC7CBA" w:rsidRDefault="00EC7CBA" w:rsidP="004848F8">
      <w:pPr>
        <w:pStyle w:val="11odst"/>
      </w:pPr>
      <w:r>
        <w:t xml:space="preserve">Prodávající dodá veškerý požadovaný Hardware </w:t>
      </w:r>
      <w:r w:rsidRPr="00696D12">
        <w:t xml:space="preserve">nejpozději do </w:t>
      </w:r>
      <w:r w:rsidR="00B004E0">
        <w:t>8 tý</w:t>
      </w:r>
      <w:r w:rsidR="00F6545B" w:rsidRPr="00696D12">
        <w:t xml:space="preserve">dnů </w:t>
      </w:r>
      <w:r w:rsidRPr="00696D12">
        <w:t>od</w:t>
      </w:r>
      <w:r w:rsidR="002626DB">
        <w:t>e dne nabytí</w:t>
      </w:r>
      <w:r w:rsidRPr="00696D12">
        <w:t xml:space="preserve"> účinnosti Smlouvy</w:t>
      </w:r>
      <w:r w:rsidR="00F6545B" w:rsidRPr="00696D12">
        <w:t>, nedohodnou-li se Smluvní strany jinak</w:t>
      </w:r>
      <w:r w:rsidRPr="00696D12">
        <w:t>.</w:t>
      </w:r>
    </w:p>
    <w:p w14:paraId="5CE2EE3F" w14:textId="05317CF3"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w:t>
      </w:r>
      <w:r w:rsidR="00F6545B" w:rsidRPr="00D54951">
        <w:t xml:space="preserve">Příloze č. </w:t>
      </w:r>
      <w:r w:rsidR="00D54951">
        <w:t>6</w:t>
      </w:r>
      <w:r w:rsidR="00D54951" w:rsidRPr="008414F8">
        <w:t xml:space="preserve"> </w:t>
      </w:r>
      <w:r w:rsidR="00F6545B" w:rsidRPr="008414F8">
        <w:t>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AB32CB4"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w:t>
      </w:r>
      <w:r w:rsidR="00B45C1B">
        <w:t>3</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7"/>
    <w:p w14:paraId="27F057BB" w14:textId="77777777" w:rsidR="00B004E0" w:rsidRPr="00DB1F96" w:rsidRDefault="00B004E0" w:rsidP="00B004E0">
      <w:pPr>
        <w:pStyle w:val="11odst"/>
        <w:rPr>
          <w:rFonts w:eastAsia="Times New Roman" w:cs="Times New Roman"/>
          <w:lang w:eastAsia="cs-CZ"/>
        </w:rPr>
      </w:pPr>
      <w:r w:rsidRPr="00DB1F96">
        <w:t>Fakturační adresa Kupujícího</w:t>
      </w:r>
      <w:r w:rsidRPr="003809FB">
        <w:t>:</w:t>
      </w:r>
      <w:r w:rsidRPr="003809FB">
        <w:rPr>
          <w:rFonts w:eastAsia="Times New Roman" w:cs="Times New Roman"/>
          <w:highlight w:val="yellow"/>
          <w:lang w:eastAsia="cs-CZ"/>
        </w:rPr>
        <w:t>………………</w:t>
      </w:r>
      <w:r w:rsidRPr="003809FB">
        <w:rPr>
          <w:noProof/>
          <w:highlight w:val="yellow"/>
        </w:rPr>
        <w:t xml:space="preserve"> [DOPLNÍ KUPUJÍCÍ: název organizace, sídlo, případně další určení místa, kam bude faktura fyzicky zaslána]</w:t>
      </w:r>
      <w:r w:rsidRPr="00DB1F96">
        <w:rPr>
          <w:noProof/>
        </w:rPr>
        <w:t>,</w:t>
      </w:r>
    </w:p>
    <w:p w14:paraId="4A627694" w14:textId="77777777" w:rsidR="00B004E0" w:rsidRPr="000134EE" w:rsidRDefault="00B004E0" w:rsidP="00B004E0">
      <w:pPr>
        <w:pStyle w:val="11odst"/>
      </w:pPr>
      <w:r w:rsidRPr="00DB1F96">
        <w:t>Adresa Kupujícího pro zaslání faktury</w:t>
      </w:r>
      <w:r w:rsidRPr="003809FB">
        <w:rPr>
          <w:rFonts w:eastAsia="Times New Roman" w:cs="Times New Roman"/>
          <w:lang w:eastAsia="cs-CZ"/>
        </w:rPr>
        <w:t>:</w:t>
      </w:r>
      <w:r w:rsidRPr="003809FB">
        <w:rPr>
          <w:rFonts w:eastAsia="Times New Roman" w:cs="Times New Roman"/>
          <w:highlight w:val="yellow"/>
          <w:lang w:eastAsia="cs-CZ"/>
        </w:rPr>
        <w:t>…………</w:t>
      </w:r>
      <w:r w:rsidRPr="003809FB">
        <w:rPr>
          <w:noProof/>
          <w:highlight w:val="yellow"/>
        </w:rPr>
        <w:t xml:space="preserve"> [DOPLNÍ KUPUJÍCÍ: e-mail pro příjem elektronické faktury].</w:t>
      </w:r>
      <w:r>
        <w:t xml:space="preserve"> </w:t>
      </w:r>
    </w:p>
    <w:p w14:paraId="1D80B3EA" w14:textId="3512EE59" w:rsidR="001B1729" w:rsidRPr="000F087F" w:rsidRDefault="001B1729" w:rsidP="00B004E0">
      <w:pPr>
        <w:pStyle w:val="11odst"/>
        <w:numPr>
          <w:ilvl w:val="0"/>
          <w:numId w:val="0"/>
        </w:numPr>
        <w:ind w:left="567"/>
      </w:pPr>
      <w:r>
        <w:rPr>
          <w:lang w:eastAsia="cs-CZ"/>
        </w:rPr>
        <w:t xml:space="preserve"> </w:t>
      </w:r>
    </w:p>
    <w:p w14:paraId="469AA071" w14:textId="7AE1932E" w:rsidR="00C70843" w:rsidRPr="00C11225" w:rsidRDefault="00F61DE3" w:rsidP="004848F8">
      <w:pPr>
        <w:pStyle w:val="1nadpis"/>
      </w:pPr>
      <w:r w:rsidRPr="00221465">
        <w:lastRenderedPageBreak/>
        <w:t>Práva duševního vlastnictví</w:t>
      </w:r>
    </w:p>
    <w:p w14:paraId="28230C56" w14:textId="75B1A015"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D54951">
        <w:rPr>
          <w:noProof/>
        </w:rPr>
        <w:t>4</w:t>
      </w:r>
      <w:r w:rsidR="00D54951" w:rsidRPr="008414F8">
        <w:rPr>
          <w:rStyle w:val="Kurzva"/>
          <w:i w:val="0"/>
        </w:rPr>
        <w:t xml:space="preserve"> </w:t>
      </w:r>
      <w:r w:rsidR="000A61BE" w:rsidRPr="008414F8">
        <w:rPr>
          <w:rStyle w:val="Kurzva"/>
          <w:i w:val="0"/>
        </w:rPr>
        <w:t>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49768F3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D54951">
        <w:rPr>
          <w:noProof/>
        </w:rPr>
        <w:t>4</w:t>
      </w:r>
      <w:r w:rsidR="00D54951" w:rsidRPr="008414F8">
        <w:rPr>
          <w:noProof/>
        </w:rPr>
        <w:t xml:space="preserve"> </w:t>
      </w:r>
      <w:r w:rsidR="000A61BE" w:rsidRPr="008414F8">
        <w:rPr>
          <w:noProof/>
        </w:rPr>
        <w:t>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60ADAAF9"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3E0414">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lastRenderedPageBreak/>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7D52D7D" w14:textId="6B7CD92A"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w:t>
      </w:r>
      <w:r w:rsidR="00EE6DB0" w:rsidRPr="00BD4E80">
        <w:rPr>
          <w:highlight w:val="green"/>
        </w:rPr>
        <w:t xml:space="preserve">DOPLNÍ </w:t>
      </w:r>
      <w:r w:rsidR="00EE6DB0">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w:t>
      </w:r>
      <w:r w:rsidR="00EE6DB0">
        <w:rPr>
          <w:highlight w:val="green"/>
        </w:rPr>
        <w:t>2</w:t>
      </w:r>
      <w:r w:rsidRPr="00BD4E80">
        <w:rPr>
          <w:highlight w:val="green"/>
        </w:rPr>
        <w:t xml:space="preserve">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487C1BE2" w:rsidR="007F7EDC" w:rsidRDefault="007F7EDC" w:rsidP="004848F8">
      <w:pPr>
        <w:pStyle w:val="11odst"/>
      </w:pPr>
      <w:r>
        <w:t>Tuto Smlouvu lze měnit pouze písemnými</w:t>
      </w:r>
      <w:r w:rsidR="00161FAE">
        <w:t xml:space="preserve"> vzestupně číslovanými</w:t>
      </w:r>
      <w:r>
        <w:t xml:space="preserve">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w:t>
      </w:r>
      <w:r w:rsidRPr="000C5DA0">
        <w:lastRenderedPageBreak/>
        <w:t>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007A24F0" w14:textId="66B14987" w:rsidR="00EF4996" w:rsidRPr="00AC5923" w:rsidRDefault="00EF4996" w:rsidP="004848F8">
      <w:pPr>
        <w:pStyle w:val="Plohy"/>
      </w:pPr>
      <w:r w:rsidRPr="00AC5923">
        <w:t xml:space="preserve">Příloha č. </w:t>
      </w:r>
      <w:r w:rsidR="001B1729">
        <w:t>3</w:t>
      </w:r>
      <w:r w:rsidRPr="00AC5923">
        <w:t xml:space="preserve"> – Poddodavatelé</w:t>
      </w:r>
    </w:p>
    <w:p w14:paraId="51E98C8E" w14:textId="5C646C33" w:rsidR="00590D81" w:rsidRPr="00AC5923" w:rsidRDefault="00685634" w:rsidP="004848F8">
      <w:pPr>
        <w:pStyle w:val="Plohy"/>
      </w:pPr>
      <w:r w:rsidRPr="00AC5923">
        <w:t xml:space="preserve">Příloha č. </w:t>
      </w:r>
      <w:r w:rsidR="001B1729">
        <w:t>4</w:t>
      </w:r>
      <w:r w:rsidR="00590D81" w:rsidRPr="00AC5923">
        <w:t xml:space="preserve"> – Zvláštní obchodní podmínky</w:t>
      </w:r>
      <w:r w:rsidR="009565DA" w:rsidRPr="00AC5923">
        <w:t xml:space="preserve"> k zakázkám v oblasti ICT</w:t>
      </w:r>
    </w:p>
    <w:p w14:paraId="7A27FC8C" w14:textId="4228538A" w:rsidR="00DA12DE" w:rsidRPr="00AC5923" w:rsidRDefault="00DA12DE" w:rsidP="004848F8">
      <w:pPr>
        <w:pStyle w:val="Plohy"/>
      </w:pPr>
      <w:r w:rsidRPr="00AC5923">
        <w:t xml:space="preserve">Příloha č. </w:t>
      </w:r>
      <w:r w:rsidR="001B1729">
        <w:t>5</w:t>
      </w:r>
      <w:r w:rsidRPr="00AC5923">
        <w:t xml:space="preserve"> – Obchodní podmínky</w:t>
      </w:r>
      <w:r w:rsidR="009565DA" w:rsidRPr="00AC5923">
        <w:t xml:space="preserve"> ke kupní smlouvě</w:t>
      </w:r>
    </w:p>
    <w:p w14:paraId="1BAC755A" w14:textId="15740B75" w:rsidR="003656E8" w:rsidRPr="00AC5923" w:rsidRDefault="00036D1F" w:rsidP="004848F8">
      <w:pPr>
        <w:pStyle w:val="Plohy"/>
      </w:pPr>
      <w:r w:rsidRPr="00AC5923">
        <w:t xml:space="preserve">Příloha </w:t>
      </w:r>
      <w:r w:rsidR="003656E8" w:rsidRPr="00AC5923">
        <w:t xml:space="preserve">č. </w:t>
      </w:r>
      <w:r w:rsidR="001B1729">
        <w:t>6</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17F0EB22" w14:textId="6257E63D" w:rsidR="008414F8" w:rsidRDefault="00097F37" w:rsidP="00D149C9">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29231A67" w:rsidR="00097F37" w:rsidRPr="00221465" w:rsidRDefault="00B004E0" w:rsidP="00357CB8">
      <w:pPr>
        <w:widowControl w:val="0"/>
        <w:spacing w:before="60" w:afterLines="60" w:after="144" w:line="240" w:lineRule="auto"/>
        <w:rPr>
          <w:rFonts w:asciiTheme="majorHAnsi" w:hAnsiTheme="majorHAnsi"/>
        </w:rPr>
      </w:pPr>
      <w:r w:rsidRPr="003809FB">
        <w:rPr>
          <w:rFonts w:asciiTheme="majorHAnsi" w:hAnsiTheme="majorHAnsi"/>
          <w:noProof/>
          <w:highlight w:val="yellow"/>
        </w:rPr>
        <w:t>[</w:t>
      </w:r>
      <w:r w:rsidRPr="003809FB">
        <w:rPr>
          <w:rFonts w:asciiTheme="majorHAnsi" w:hAnsiTheme="majorHAnsi"/>
          <w:iCs/>
          <w:noProof/>
          <w:highlight w:val="yellow"/>
        </w:rPr>
        <w:t>DOPLNÍ KUPUJÍCÍ</w:t>
      </w:r>
      <w:r w:rsidRPr="003809FB">
        <w:rPr>
          <w:rFonts w:asciiTheme="majorHAnsi" w:hAnsiTheme="majorHAnsi"/>
          <w:noProof/>
          <w:highlight w:val="yellow"/>
        </w:rPr>
        <w:t>]</w:t>
      </w:r>
      <w:r w:rsidR="00097F37" w:rsidRPr="00221465">
        <w:rPr>
          <w:rFonts w:asciiTheme="majorHAnsi" w:hAnsiTheme="majorHAnsi"/>
        </w:rPr>
        <w:tab/>
        <w:t xml:space="preserve">  </w:t>
      </w:r>
      <w:r w:rsidR="00097F37" w:rsidRPr="00221465">
        <w:rPr>
          <w:rFonts w:asciiTheme="majorHAnsi" w:hAnsiTheme="majorHAnsi"/>
        </w:rPr>
        <w:tab/>
      </w:r>
      <w:r w:rsidR="00097F37" w:rsidRPr="00221465">
        <w:rPr>
          <w:rFonts w:asciiTheme="majorHAnsi" w:hAnsiTheme="majorHAnsi"/>
        </w:rPr>
        <w:tab/>
      </w:r>
      <w:r>
        <w:rPr>
          <w:rFonts w:asciiTheme="majorHAnsi" w:hAnsiTheme="majorHAnsi"/>
        </w:rPr>
        <w:tab/>
      </w:r>
      <w:r w:rsidR="00EF4996">
        <w:rPr>
          <w:rFonts w:asciiTheme="majorHAnsi" w:hAnsiTheme="majorHAnsi"/>
        </w:rPr>
        <w:tab/>
      </w:r>
      <w:r w:rsidR="00586495" w:rsidRPr="00EE6DB0">
        <w:rPr>
          <w:rFonts w:asciiTheme="majorHAnsi" w:hAnsiTheme="majorHAnsi"/>
          <w:noProof/>
          <w:highlight w:val="green"/>
        </w:rPr>
        <w:t>[</w:t>
      </w:r>
      <w:r w:rsidR="00586495" w:rsidRPr="00EE6DB0">
        <w:rPr>
          <w:rFonts w:asciiTheme="majorHAnsi" w:hAnsiTheme="majorHAnsi"/>
          <w:iCs/>
          <w:noProof/>
          <w:highlight w:val="green"/>
        </w:rPr>
        <w:t>DOPLNÍ PRODÁVAJÍCÍ</w:t>
      </w:r>
      <w:r w:rsidR="00586495" w:rsidRPr="00EE6DB0">
        <w:rPr>
          <w:rFonts w:asciiTheme="majorHAnsi" w:hAnsiTheme="majorHAnsi"/>
          <w:noProof/>
          <w:highlight w:val="green"/>
        </w:rPr>
        <w:t>]</w:t>
      </w:r>
      <w:bookmarkEnd w:id="1"/>
    </w:p>
    <w:sectPr w:rsidR="00097F37"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A7ACC" w14:textId="77777777" w:rsidR="006A1AEE" w:rsidRDefault="006A1AEE" w:rsidP="00962258">
      <w:pPr>
        <w:spacing w:after="0" w:line="240" w:lineRule="auto"/>
      </w:pPr>
      <w:r>
        <w:separator/>
      </w:r>
    </w:p>
  </w:endnote>
  <w:endnote w:type="continuationSeparator" w:id="0">
    <w:p w14:paraId="69E0F7D0" w14:textId="77777777" w:rsidR="006A1AEE" w:rsidRDefault="006A1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7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0"/>
      <w:gridCol w:w="4907"/>
      <w:gridCol w:w="3504"/>
      <w:gridCol w:w="1308"/>
    </w:tblGrid>
    <w:tr w:rsidR="00281D7B" w14:paraId="3F14AAD4" w14:textId="77777777" w:rsidTr="000067B7">
      <w:tc>
        <w:tcPr>
          <w:tcW w:w="360"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907" w:type="dxa"/>
          <w:shd w:val="clear" w:color="auto" w:fill="auto"/>
          <w:tcMar>
            <w:left w:w="0" w:type="dxa"/>
            <w:right w:w="0" w:type="dxa"/>
          </w:tcMar>
        </w:tcPr>
        <w:p w14:paraId="2419656C" w14:textId="791C89C0" w:rsidR="00281D7B" w:rsidRDefault="00281D7B" w:rsidP="00281D7B">
          <w:pPr>
            <w:pStyle w:val="Zpat"/>
          </w:pPr>
        </w:p>
      </w:tc>
      <w:tc>
        <w:tcPr>
          <w:tcW w:w="3504" w:type="dxa"/>
          <w:shd w:val="clear" w:color="auto" w:fill="auto"/>
          <w:tcMar>
            <w:left w:w="0" w:type="dxa"/>
            <w:right w:w="0" w:type="dxa"/>
          </w:tcMar>
        </w:tcPr>
        <w:p w14:paraId="614132CD" w14:textId="700E8BF8" w:rsidR="00281D7B" w:rsidRDefault="00281D7B" w:rsidP="00281D7B">
          <w:pPr>
            <w:pStyle w:val="Zpat"/>
          </w:pPr>
        </w:p>
      </w:tc>
      <w:tc>
        <w:tcPr>
          <w:tcW w:w="1308"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6B41B2" w14:textId="77777777" w:rsidR="006A1AEE" w:rsidRDefault="006A1AEE" w:rsidP="00962258">
      <w:pPr>
        <w:spacing w:after="0" w:line="240" w:lineRule="auto"/>
      </w:pPr>
      <w:r>
        <w:separator/>
      </w:r>
    </w:p>
  </w:footnote>
  <w:footnote w:type="continuationSeparator" w:id="0">
    <w:p w14:paraId="4EE359EA" w14:textId="77777777" w:rsidR="006A1AEE" w:rsidRDefault="006A1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7D841A3"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7B7"/>
    <w:rsid w:val="0001327F"/>
    <w:rsid w:val="000134EE"/>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820C5"/>
    <w:rsid w:val="00084CE8"/>
    <w:rsid w:val="00086063"/>
    <w:rsid w:val="00096484"/>
    <w:rsid w:val="00097F37"/>
    <w:rsid w:val="000A1BD4"/>
    <w:rsid w:val="000A61BE"/>
    <w:rsid w:val="000B4D01"/>
    <w:rsid w:val="000D2268"/>
    <w:rsid w:val="000D3ADE"/>
    <w:rsid w:val="000D7A96"/>
    <w:rsid w:val="000E12B2"/>
    <w:rsid w:val="000E20CB"/>
    <w:rsid w:val="000E23A7"/>
    <w:rsid w:val="000E2E68"/>
    <w:rsid w:val="000E4933"/>
    <w:rsid w:val="000F4620"/>
    <w:rsid w:val="00105F1B"/>
    <w:rsid w:val="0010693F"/>
    <w:rsid w:val="00114312"/>
    <w:rsid w:val="00114472"/>
    <w:rsid w:val="0011745D"/>
    <w:rsid w:val="00126EF5"/>
    <w:rsid w:val="00126FE7"/>
    <w:rsid w:val="001303D1"/>
    <w:rsid w:val="00132554"/>
    <w:rsid w:val="00133371"/>
    <w:rsid w:val="00136245"/>
    <w:rsid w:val="00140178"/>
    <w:rsid w:val="0014565C"/>
    <w:rsid w:val="00153B54"/>
    <w:rsid w:val="001550BC"/>
    <w:rsid w:val="00157463"/>
    <w:rsid w:val="001605B9"/>
    <w:rsid w:val="00161FAE"/>
    <w:rsid w:val="001659E9"/>
    <w:rsid w:val="0016784C"/>
    <w:rsid w:val="00170EC5"/>
    <w:rsid w:val="001747C1"/>
    <w:rsid w:val="00184743"/>
    <w:rsid w:val="001852F6"/>
    <w:rsid w:val="001903A9"/>
    <w:rsid w:val="001925F6"/>
    <w:rsid w:val="001942BB"/>
    <w:rsid w:val="001975F5"/>
    <w:rsid w:val="001A2756"/>
    <w:rsid w:val="001A3D0B"/>
    <w:rsid w:val="001A4AFB"/>
    <w:rsid w:val="001B1729"/>
    <w:rsid w:val="001B629E"/>
    <w:rsid w:val="001C395D"/>
    <w:rsid w:val="001C4DE4"/>
    <w:rsid w:val="001E7681"/>
    <w:rsid w:val="001F0FAC"/>
    <w:rsid w:val="001F763F"/>
    <w:rsid w:val="00201D3F"/>
    <w:rsid w:val="00207DF5"/>
    <w:rsid w:val="00221465"/>
    <w:rsid w:val="00222F74"/>
    <w:rsid w:val="00223696"/>
    <w:rsid w:val="00224616"/>
    <w:rsid w:val="00252F2B"/>
    <w:rsid w:val="0025503B"/>
    <w:rsid w:val="002626DB"/>
    <w:rsid w:val="00263B4F"/>
    <w:rsid w:val="00264CEE"/>
    <w:rsid w:val="00266CCA"/>
    <w:rsid w:val="00275B09"/>
    <w:rsid w:val="00275D5F"/>
    <w:rsid w:val="00280E07"/>
    <w:rsid w:val="00281D7B"/>
    <w:rsid w:val="00281F69"/>
    <w:rsid w:val="00287A6B"/>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042D2"/>
    <w:rsid w:val="003101FE"/>
    <w:rsid w:val="003105A6"/>
    <w:rsid w:val="00312FA9"/>
    <w:rsid w:val="0031664D"/>
    <w:rsid w:val="00316A31"/>
    <w:rsid w:val="003239F3"/>
    <w:rsid w:val="003262F5"/>
    <w:rsid w:val="00330069"/>
    <w:rsid w:val="00330605"/>
    <w:rsid w:val="003341A0"/>
    <w:rsid w:val="0034033F"/>
    <w:rsid w:val="00340DA4"/>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28BD"/>
    <w:rsid w:val="003B4725"/>
    <w:rsid w:val="003C31F7"/>
    <w:rsid w:val="003C5769"/>
    <w:rsid w:val="003E0414"/>
    <w:rsid w:val="003E16CE"/>
    <w:rsid w:val="00401B3E"/>
    <w:rsid w:val="004129FC"/>
    <w:rsid w:val="00415115"/>
    <w:rsid w:val="00420179"/>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1AB9"/>
    <w:rsid w:val="00520E7E"/>
    <w:rsid w:val="00523EA7"/>
    <w:rsid w:val="00540F45"/>
    <w:rsid w:val="00542F9A"/>
    <w:rsid w:val="00546382"/>
    <w:rsid w:val="005466DD"/>
    <w:rsid w:val="00553375"/>
    <w:rsid w:val="00555C2D"/>
    <w:rsid w:val="0056509F"/>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E2E23"/>
    <w:rsid w:val="005F1404"/>
    <w:rsid w:val="0061068E"/>
    <w:rsid w:val="006119B9"/>
    <w:rsid w:val="00615789"/>
    <w:rsid w:val="00624971"/>
    <w:rsid w:val="00624CD3"/>
    <w:rsid w:val="0063072C"/>
    <w:rsid w:val="0063371F"/>
    <w:rsid w:val="00637EFA"/>
    <w:rsid w:val="006413B7"/>
    <w:rsid w:val="0064774B"/>
    <w:rsid w:val="006502C6"/>
    <w:rsid w:val="00657BFC"/>
    <w:rsid w:val="00660AD3"/>
    <w:rsid w:val="00675FB3"/>
    <w:rsid w:val="00677B7F"/>
    <w:rsid w:val="00685634"/>
    <w:rsid w:val="006862DF"/>
    <w:rsid w:val="00696698"/>
    <w:rsid w:val="00696D12"/>
    <w:rsid w:val="006A1AEE"/>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30526"/>
    <w:rsid w:val="007331D8"/>
    <w:rsid w:val="007358A3"/>
    <w:rsid w:val="00743525"/>
    <w:rsid w:val="00745D74"/>
    <w:rsid w:val="00747B4E"/>
    <w:rsid w:val="0076286B"/>
    <w:rsid w:val="00766846"/>
    <w:rsid w:val="0077363D"/>
    <w:rsid w:val="00773793"/>
    <w:rsid w:val="0077673A"/>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4D77"/>
    <w:rsid w:val="008750C7"/>
    <w:rsid w:val="008819F6"/>
    <w:rsid w:val="00886D4B"/>
    <w:rsid w:val="008874EA"/>
    <w:rsid w:val="0089225E"/>
    <w:rsid w:val="008927B1"/>
    <w:rsid w:val="00895406"/>
    <w:rsid w:val="008A3568"/>
    <w:rsid w:val="008A368D"/>
    <w:rsid w:val="008B3D7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14DA"/>
    <w:rsid w:val="00952F93"/>
    <w:rsid w:val="009565DA"/>
    <w:rsid w:val="00962258"/>
    <w:rsid w:val="00966BD9"/>
    <w:rsid w:val="009678B7"/>
    <w:rsid w:val="00972015"/>
    <w:rsid w:val="00974FD0"/>
    <w:rsid w:val="009833E1"/>
    <w:rsid w:val="00991B24"/>
    <w:rsid w:val="00992D9C"/>
    <w:rsid w:val="00996CB8"/>
    <w:rsid w:val="009A0CD0"/>
    <w:rsid w:val="009A2A6E"/>
    <w:rsid w:val="009B14A9"/>
    <w:rsid w:val="009B2E97"/>
    <w:rsid w:val="009B30D0"/>
    <w:rsid w:val="009B3BC5"/>
    <w:rsid w:val="009B3DE3"/>
    <w:rsid w:val="009B55E1"/>
    <w:rsid w:val="009B5F56"/>
    <w:rsid w:val="009C0A64"/>
    <w:rsid w:val="009C3EFF"/>
    <w:rsid w:val="009C7928"/>
    <w:rsid w:val="009D17FC"/>
    <w:rsid w:val="009D1BA2"/>
    <w:rsid w:val="009D50D4"/>
    <w:rsid w:val="009E07F4"/>
    <w:rsid w:val="009E1D91"/>
    <w:rsid w:val="009F271E"/>
    <w:rsid w:val="009F392E"/>
    <w:rsid w:val="009F71DC"/>
    <w:rsid w:val="00A02735"/>
    <w:rsid w:val="00A037C2"/>
    <w:rsid w:val="00A06158"/>
    <w:rsid w:val="00A06E45"/>
    <w:rsid w:val="00A13035"/>
    <w:rsid w:val="00A16B5F"/>
    <w:rsid w:val="00A219FE"/>
    <w:rsid w:val="00A23B93"/>
    <w:rsid w:val="00A249DE"/>
    <w:rsid w:val="00A26965"/>
    <w:rsid w:val="00A34752"/>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04E0"/>
    <w:rsid w:val="00B03580"/>
    <w:rsid w:val="00B03863"/>
    <w:rsid w:val="00B0515B"/>
    <w:rsid w:val="00B139A0"/>
    <w:rsid w:val="00B15D0D"/>
    <w:rsid w:val="00B22724"/>
    <w:rsid w:val="00B45C1B"/>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E43"/>
    <w:rsid w:val="00CC2C09"/>
    <w:rsid w:val="00CD1FC4"/>
    <w:rsid w:val="00CD32CB"/>
    <w:rsid w:val="00CE56F8"/>
    <w:rsid w:val="00CF17BE"/>
    <w:rsid w:val="00D051C6"/>
    <w:rsid w:val="00D149C9"/>
    <w:rsid w:val="00D21061"/>
    <w:rsid w:val="00D231B3"/>
    <w:rsid w:val="00D2450A"/>
    <w:rsid w:val="00D31E61"/>
    <w:rsid w:val="00D37010"/>
    <w:rsid w:val="00D402D9"/>
    <w:rsid w:val="00D4108E"/>
    <w:rsid w:val="00D44580"/>
    <w:rsid w:val="00D45A45"/>
    <w:rsid w:val="00D54951"/>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80E7B"/>
    <w:rsid w:val="00E854EA"/>
    <w:rsid w:val="00E86F16"/>
    <w:rsid w:val="00E90396"/>
    <w:rsid w:val="00E90C16"/>
    <w:rsid w:val="00EA04FC"/>
    <w:rsid w:val="00EA1889"/>
    <w:rsid w:val="00EA2C48"/>
    <w:rsid w:val="00EA40B9"/>
    <w:rsid w:val="00EA5011"/>
    <w:rsid w:val="00EA57B9"/>
    <w:rsid w:val="00EB104F"/>
    <w:rsid w:val="00EB1879"/>
    <w:rsid w:val="00EB4C7D"/>
    <w:rsid w:val="00EB7707"/>
    <w:rsid w:val="00EC2D7C"/>
    <w:rsid w:val="00EC7CBA"/>
    <w:rsid w:val="00ED0450"/>
    <w:rsid w:val="00ED14BD"/>
    <w:rsid w:val="00ED43E8"/>
    <w:rsid w:val="00EE11E4"/>
    <w:rsid w:val="00EE1C11"/>
    <w:rsid w:val="00EE6DB0"/>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E6CAA"/>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926837692">
      <w:bodyDiv w:val="1"/>
      <w:marLeft w:val="0"/>
      <w:marRight w:val="0"/>
      <w:marTop w:val="0"/>
      <w:marBottom w:val="0"/>
      <w:divBdr>
        <w:top w:val="none" w:sz="0" w:space="0" w:color="auto"/>
        <w:left w:val="none" w:sz="0" w:space="0" w:color="auto"/>
        <w:bottom w:val="none" w:sz="0" w:space="0" w:color="auto"/>
        <w:right w:val="none" w:sz="0" w:space="0" w:color="auto"/>
      </w:divBdr>
    </w:div>
    <w:div w:id="19863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3062</Words>
  <Characters>18067</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15</cp:revision>
  <cp:lastPrinted>2025-04-23T07:04:00Z</cp:lastPrinted>
  <dcterms:created xsi:type="dcterms:W3CDTF">2025-03-10T12:17:00Z</dcterms:created>
  <dcterms:modified xsi:type="dcterms:W3CDTF">2025-04-23T07:05:00Z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